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A78E" w14:textId="7DF3BE1F" w:rsidR="00EB1E45" w:rsidRDefault="000E600D">
      <w:pPr>
        <w:spacing w:line="360" w:lineRule="auto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Профессиональное обучение граждан в рамках федерального проекта «Содействие занятости» национального проекта "Демография".</w:t>
      </w:r>
    </w:p>
    <w:p w14:paraId="1CFAB365" w14:textId="0F161457" w:rsidR="000E600D" w:rsidRPr="000E600D" w:rsidRDefault="000E600D" w:rsidP="000E600D">
      <w:pPr>
        <w:spacing w:line="360" w:lineRule="auto"/>
        <w:ind w:left="-567" w:firstLine="1275"/>
        <w:jc w:val="both"/>
        <w:rPr>
          <w:sz w:val="26"/>
          <w:szCs w:val="26"/>
          <w:u w:val="single"/>
        </w:rPr>
      </w:pPr>
      <w:r w:rsidRPr="000E600D">
        <w:rPr>
          <w:rFonts w:ascii="Times New Roman" w:hAnsi="Times New Roman"/>
          <w:b/>
          <w:bCs/>
          <w:sz w:val="26"/>
          <w:szCs w:val="26"/>
          <w:u w:val="single"/>
        </w:rPr>
        <w:t>Для граждан предлагается получение профессии для тех, у кого ее нет, получение другой профессии, повышение квалификации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по имеющейся профессии</w:t>
      </w:r>
      <w:r w:rsidRPr="000E600D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14:paraId="7CC7973D" w14:textId="1BB57FF6" w:rsidR="00EB1E45" w:rsidRDefault="000E600D">
      <w:p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6"/>
          <w:szCs w:val="26"/>
          <w:u w:val="single"/>
        </w:rPr>
        <w:t>Категории граждан для участия в мероприятиях по обучению:</w:t>
      </w:r>
    </w:p>
    <w:tbl>
      <w:tblPr>
        <w:tblW w:w="10210" w:type="dxa"/>
        <w:tblInd w:w="-921" w:type="dxa"/>
        <w:tblLook w:val="0000" w:firstRow="0" w:lastRow="0" w:firstColumn="0" w:lastColumn="0" w:noHBand="0" w:noVBand="0"/>
      </w:tblPr>
      <w:tblGrid>
        <w:gridCol w:w="1905"/>
        <w:gridCol w:w="8305"/>
      </w:tblGrid>
      <w:tr w:rsidR="00EB1E45" w14:paraId="37AE6488" w14:textId="77777777">
        <w:trPr>
          <w:trHeight w:val="165"/>
        </w:trPr>
        <w:tc>
          <w:tcPr>
            <w:tcW w:w="10210" w:type="dxa"/>
            <w:gridSpan w:val="2"/>
            <w:shd w:val="clear" w:color="auto" w:fill="auto"/>
          </w:tcPr>
          <w:p w14:paraId="1001FF5E" w14:textId="77777777" w:rsidR="00EB1E45" w:rsidRDefault="000E600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 в возрасте 50-ти лет и старше;</w:t>
            </w:r>
          </w:p>
        </w:tc>
      </w:tr>
      <w:tr w:rsidR="00EB1E45" w14:paraId="552084D3" w14:textId="77777777">
        <w:trPr>
          <w:trHeight w:val="285"/>
        </w:trPr>
        <w:tc>
          <w:tcPr>
            <w:tcW w:w="1905" w:type="dxa"/>
            <w:shd w:val="clear" w:color="auto" w:fill="auto"/>
          </w:tcPr>
          <w:p w14:paraId="385395C4" w14:textId="77777777" w:rsidR="00EB1E45" w:rsidRDefault="00EB1E4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5" w:type="dxa"/>
            <w:shd w:val="clear" w:color="auto" w:fill="auto"/>
          </w:tcPr>
          <w:p w14:paraId="79A54A4E" w14:textId="77777777" w:rsidR="00EB1E45" w:rsidRDefault="000E6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E45" w14:paraId="6B37CB3B" w14:textId="77777777">
        <w:trPr>
          <w:trHeight w:val="525"/>
        </w:trPr>
        <w:tc>
          <w:tcPr>
            <w:tcW w:w="10210" w:type="dxa"/>
            <w:gridSpan w:val="2"/>
            <w:shd w:val="clear" w:color="auto" w:fill="auto"/>
          </w:tcPr>
          <w:p w14:paraId="5B948178" w14:textId="77777777" w:rsidR="00EB1E45" w:rsidRDefault="000E60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 предпенсионного возраста;</w:t>
            </w:r>
          </w:p>
        </w:tc>
      </w:tr>
      <w:tr w:rsidR="00EB1E45" w14:paraId="042782EA" w14:textId="77777777">
        <w:trPr>
          <w:trHeight w:val="679"/>
        </w:trPr>
        <w:tc>
          <w:tcPr>
            <w:tcW w:w="10210" w:type="dxa"/>
            <w:gridSpan w:val="2"/>
            <w:shd w:val="clear" w:color="auto" w:fill="auto"/>
          </w:tcPr>
          <w:p w14:paraId="567C9330" w14:textId="77777777" w:rsidR="00EB1E45" w:rsidRDefault="000E60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Женщины, находящиеся в отпуске по уходу за ребенком до достижения им возраста 3х лет;</w:t>
            </w:r>
          </w:p>
        </w:tc>
      </w:tr>
      <w:tr w:rsidR="00EB1E45" w14:paraId="1CEC7C14" w14:textId="77777777">
        <w:trPr>
          <w:trHeight w:val="528"/>
        </w:trPr>
        <w:tc>
          <w:tcPr>
            <w:tcW w:w="10210" w:type="dxa"/>
            <w:gridSpan w:val="2"/>
            <w:shd w:val="clear" w:color="auto" w:fill="auto"/>
          </w:tcPr>
          <w:p w14:paraId="7AD602C0" w14:textId="77777777" w:rsidR="00EB1E45" w:rsidRDefault="000E60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Женщины, не состоящие в трудовых отношениях и имеющие детей дошкольного возраста в возрасте от 0 до 7 лет включительно;</w:t>
            </w:r>
          </w:p>
          <w:p w14:paraId="7F348558" w14:textId="77777777" w:rsidR="00EB1E45" w:rsidRDefault="00EB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E45" w14:paraId="40FB3D90" w14:textId="77777777">
        <w:trPr>
          <w:trHeight w:val="93"/>
        </w:trPr>
        <w:tc>
          <w:tcPr>
            <w:tcW w:w="10210" w:type="dxa"/>
            <w:gridSpan w:val="2"/>
            <w:shd w:val="clear" w:color="auto" w:fill="auto"/>
          </w:tcPr>
          <w:p w14:paraId="3760CF87" w14:textId="77777777" w:rsidR="00EB1E45" w:rsidRDefault="000E60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Безработные граждане, зарегистрированные в органах службы занятости;</w:t>
            </w:r>
          </w:p>
          <w:p w14:paraId="180633BB" w14:textId="77777777" w:rsidR="00EB1E45" w:rsidRDefault="00EB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E45" w14:paraId="6A9E9DF2" w14:textId="77777777">
        <w:trPr>
          <w:trHeight w:val="405"/>
        </w:trPr>
        <w:tc>
          <w:tcPr>
            <w:tcW w:w="10210" w:type="dxa"/>
            <w:gridSpan w:val="2"/>
            <w:shd w:val="clear" w:color="auto" w:fill="auto"/>
          </w:tcPr>
          <w:p w14:paraId="017592BC" w14:textId="77777777" w:rsidR="00EB1E45" w:rsidRDefault="000E600D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      </w:r>
          </w:p>
          <w:p w14:paraId="168AEC79" w14:textId="77777777" w:rsidR="00EB1E45" w:rsidRDefault="000E600D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Молодежь в возрасте до 35 лет включительно, относящаяся к следующим категориям:</w:t>
            </w:r>
          </w:p>
        </w:tc>
      </w:tr>
      <w:tr w:rsidR="00EB1E45" w14:paraId="3C2CFFF4" w14:textId="77777777">
        <w:trPr>
          <w:trHeight w:val="405"/>
        </w:trPr>
        <w:tc>
          <w:tcPr>
            <w:tcW w:w="10210" w:type="dxa"/>
            <w:gridSpan w:val="2"/>
            <w:shd w:val="clear" w:color="auto" w:fill="auto"/>
          </w:tcPr>
          <w:p w14:paraId="621E36E6" w14:textId="77777777" w:rsidR="00EB1E45" w:rsidRDefault="000E600D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      </w:r>
          </w:p>
        </w:tc>
      </w:tr>
      <w:tr w:rsidR="00EB1E45" w14:paraId="09FE7E04" w14:textId="77777777">
        <w:trPr>
          <w:trHeight w:val="405"/>
        </w:trPr>
        <w:tc>
          <w:tcPr>
            <w:tcW w:w="10210" w:type="dxa"/>
            <w:gridSpan w:val="2"/>
            <w:shd w:val="clear" w:color="auto" w:fill="auto"/>
          </w:tcPr>
          <w:p w14:paraId="25640AC9" w14:textId="77777777" w:rsidR="00EB1E45" w:rsidRDefault="000E600D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которые с даты выдачи им документа об образовании и (или) квалификации не являются занятыми в соответствии с законодательством Российской Федерации о занятости населения в течение 4 месяцев и более;</w:t>
            </w:r>
          </w:p>
        </w:tc>
      </w:tr>
      <w:tr w:rsidR="00EB1E45" w14:paraId="254F4FB4" w14:textId="77777777">
        <w:trPr>
          <w:trHeight w:val="405"/>
        </w:trPr>
        <w:tc>
          <w:tcPr>
            <w:tcW w:w="10210" w:type="dxa"/>
            <w:gridSpan w:val="2"/>
            <w:shd w:val="clear" w:color="auto" w:fill="auto"/>
          </w:tcPr>
          <w:p w14:paraId="03350D63" w14:textId="77777777" w:rsidR="00EB1E45" w:rsidRDefault="000E600D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не имеющие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      </w:r>
          </w:p>
        </w:tc>
      </w:tr>
      <w:tr w:rsidR="00EB1E45" w14:paraId="2B1B7240" w14:textId="77777777">
        <w:trPr>
          <w:trHeight w:val="405"/>
        </w:trPr>
        <w:tc>
          <w:tcPr>
            <w:tcW w:w="10210" w:type="dxa"/>
            <w:gridSpan w:val="2"/>
            <w:shd w:val="clear" w:color="auto" w:fill="auto"/>
          </w:tcPr>
          <w:p w14:paraId="6EB183D5" w14:textId="77777777" w:rsidR="00EB1E45" w:rsidRDefault="000E600D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находящихся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      </w:r>
          </w:p>
        </w:tc>
      </w:tr>
      <w:tr w:rsidR="00EB1E45" w14:paraId="6C0DC891" w14:textId="77777777">
        <w:trPr>
          <w:trHeight w:val="405"/>
        </w:trPr>
        <w:tc>
          <w:tcPr>
            <w:tcW w:w="10210" w:type="dxa"/>
            <w:gridSpan w:val="2"/>
            <w:shd w:val="clear" w:color="auto" w:fill="auto"/>
          </w:tcPr>
          <w:p w14:paraId="56FABC11" w14:textId="77777777" w:rsidR="00EB1E45" w:rsidRDefault="000E600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полученной профессии (специальности).</w:t>
            </w:r>
          </w:p>
        </w:tc>
      </w:tr>
    </w:tbl>
    <w:p w14:paraId="6F8E0294" w14:textId="77777777" w:rsidR="00EB1E45" w:rsidRDefault="00EB1E45" w:rsidP="000E600D">
      <w:pPr>
        <w:pStyle w:val="3"/>
        <w:spacing w:before="0" w:after="0" w:line="240" w:lineRule="auto"/>
        <w:rPr>
          <w:sz w:val="26"/>
          <w:szCs w:val="26"/>
        </w:rPr>
      </w:pPr>
    </w:p>
    <w:p w14:paraId="3605E3EC" w14:textId="77777777" w:rsidR="00EB1E45" w:rsidRDefault="000E600D">
      <w:pPr>
        <w:pStyle w:val="3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Как принять участие в программе?</w:t>
      </w:r>
    </w:p>
    <w:p w14:paraId="1B05ADD4" w14:textId="77777777" w:rsidR="00EB1E45" w:rsidRDefault="000E600D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EA505E" w14:textId="77777777" w:rsidR="00EB1E45" w:rsidRDefault="000E600D">
      <w:pPr>
        <w:pStyle w:val="a1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t>Авторизироваться на портале Работа в России с помощью учетной записи ЕСИА (госуслуги)</w:t>
      </w:r>
    </w:p>
    <w:p w14:paraId="0F1A0263" w14:textId="77777777" w:rsidR="00EB1E45" w:rsidRDefault="000E600D">
      <w:pPr>
        <w:pStyle w:val="a1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Зайти на страницу </w:t>
      </w:r>
      <w:hyperlink r:id="rId5">
        <w:r>
          <w:rPr>
            <w:rStyle w:val="-"/>
            <w:rFonts w:ascii="Times New Roman" w:hAnsi="Times New Roman"/>
            <w:sz w:val="26"/>
            <w:szCs w:val="26"/>
          </w:rPr>
          <w:t>«Список образовательных программ»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14:paraId="73DA5A71" w14:textId="77777777" w:rsidR="00EB1E45" w:rsidRDefault="000E600D">
      <w:pPr>
        <w:pStyle w:val="a1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Подать заявку на интересующую вас программу </w:t>
      </w:r>
    </w:p>
    <w:p w14:paraId="1ACC9006" w14:textId="77777777" w:rsidR="00EB1E45" w:rsidRDefault="000E600D">
      <w:pPr>
        <w:pStyle w:val="a1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 </w:t>
      </w:r>
    </w:p>
    <w:p w14:paraId="34BDEA1B" w14:textId="77777777" w:rsidR="00EB1E45" w:rsidRDefault="000E600D">
      <w:pPr>
        <w:pStyle w:val="a1"/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 случае получения рекомендации по смене программы обучения Вы можете:</w:t>
      </w:r>
      <w:r>
        <w:rPr>
          <w:rFonts w:ascii="Times New Roman" w:hAnsi="Times New Roman"/>
          <w:sz w:val="26"/>
          <w:szCs w:val="26"/>
        </w:rPr>
        <w:br/>
        <w:t xml:space="preserve">1) Отозвать ранее поданую заявку и подать новую на рекомендованную программу </w:t>
      </w:r>
      <w:r>
        <w:rPr>
          <w:rFonts w:ascii="Times New Roman" w:hAnsi="Times New Roman"/>
          <w:sz w:val="26"/>
          <w:szCs w:val="26"/>
        </w:rPr>
        <w:br/>
        <w:t xml:space="preserve"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обучения. </w:t>
      </w:r>
    </w:p>
    <w:p w14:paraId="74CAE2ED" w14:textId="77777777" w:rsidR="00EB1E45" w:rsidRDefault="000E600D">
      <w:pPr>
        <w:pStyle w:val="a1"/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После успешной подачи заявки ожидайте её рассмотрения. Рассмотрение заявки на обучение может занимать до семи рабочих дней. </w:t>
      </w:r>
    </w:p>
    <w:p w14:paraId="26708520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Зачисление в группу обучения произойдет в течение 10 рабочих дней после одобрения заявки. </w:t>
      </w:r>
    </w:p>
    <w:p w14:paraId="45AFED2C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Организация профессионального обучения и дополнительного профессионального образования отдельных категорий граждан осуществляется:</w:t>
      </w:r>
    </w:p>
    <w:p w14:paraId="092A94F1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- Федеральными операторами: РАНХиГС (Российская академия народного хозяйства  и государственной службы при Президенте Российской Федерации), ТГУ (Национальный исследовательский Томский государственный университет)</w:t>
      </w:r>
    </w:p>
    <w:p w14:paraId="41A0A0DE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-Колледжами Приморского края.</w:t>
      </w:r>
    </w:p>
    <w:p w14:paraId="4A482AC8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  <w:u w:val="single"/>
        </w:rPr>
        <w:t>Программы обучения: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D9E1518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- Делопроизводство</w:t>
      </w:r>
    </w:p>
    <w:p w14:paraId="449C1CC6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- Государственное и муниципальное управление</w:t>
      </w:r>
    </w:p>
    <w:p w14:paraId="3408B6B7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- Повар</w:t>
      </w:r>
    </w:p>
    <w:p w14:paraId="4D565BB4" w14:textId="77777777" w:rsidR="00EB1E45" w:rsidRDefault="000E600D">
      <w:pPr>
        <w:pStyle w:val="a1"/>
        <w:spacing w:after="0" w:line="36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- Швея и т. д.</w:t>
      </w:r>
    </w:p>
    <w:p w14:paraId="0508DE56" w14:textId="7E673E48" w:rsidR="00EB1E45" w:rsidRDefault="000E600D">
      <w:pPr>
        <w:pStyle w:val="a1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обучения: очно, дистанционно</w:t>
      </w:r>
    </w:p>
    <w:p w14:paraId="59CD486A" w14:textId="6C8C74A2" w:rsidR="00B31D24" w:rsidRDefault="00B31D24">
      <w:pPr>
        <w:pStyle w:val="a1"/>
        <w:spacing w:after="0" w:line="360" w:lineRule="auto"/>
        <w:ind w:firstLine="708"/>
        <w:jc w:val="both"/>
      </w:pPr>
      <w:r w:rsidRPr="00B31D24">
        <w:t>Ссылка на видеоролик https://disk.yandex.ru/i/W5RvFlZIUew26g</w:t>
      </w:r>
    </w:p>
    <w:p w14:paraId="404649D5" w14:textId="34AAB2D6" w:rsidR="00EB1E45" w:rsidRDefault="000E600D">
      <w:pPr>
        <w:pStyle w:val="contentparagraph"/>
        <w:spacing w:before="0" w:after="0" w:line="36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D44320">
        <w:rPr>
          <w:rFonts w:ascii="Times New Roman" w:hAnsi="Times New Roman"/>
          <w:sz w:val="26"/>
          <w:szCs w:val="26"/>
          <w:u w:val="single"/>
        </w:rPr>
        <w:t>Обратиться за консультацией можно по телефону: 8(42354)22-5-37 в рабочие дни с 9.00 до 17.00,  специалист по профориентации Додонова Нина Анатольевна</w:t>
      </w:r>
      <w:r w:rsidR="00D44320" w:rsidRPr="00D44320">
        <w:rPr>
          <w:rFonts w:ascii="Times New Roman" w:hAnsi="Times New Roman"/>
          <w:sz w:val="26"/>
          <w:szCs w:val="26"/>
          <w:u w:val="single"/>
        </w:rPr>
        <w:t xml:space="preserve">, Отделение КГКУ «Приморский центр занятости населения» в Кировском районе, пгт.Кировский, ул.Комсомольская, 23 </w:t>
      </w:r>
      <w:r w:rsidRPr="00D44320">
        <w:rPr>
          <w:rFonts w:ascii="Times New Roman" w:hAnsi="Times New Roman"/>
          <w:sz w:val="26"/>
          <w:szCs w:val="26"/>
          <w:u w:val="single"/>
        </w:rPr>
        <w:t>.</w:t>
      </w:r>
    </w:p>
    <w:sectPr w:rsidR="00EB1E45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43A"/>
    <w:multiLevelType w:val="multilevel"/>
    <w:tmpl w:val="852A08E4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52E1"/>
    <w:multiLevelType w:val="multilevel"/>
    <w:tmpl w:val="A7C0E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2592741">
    <w:abstractNumId w:val="0"/>
  </w:num>
  <w:num w:numId="2" w16cid:durableId="202909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45"/>
    <w:rsid w:val="000E600D"/>
    <w:rsid w:val="008D15DA"/>
    <w:rsid w:val="00B31D24"/>
    <w:rsid w:val="00D44320"/>
    <w:rsid w:val="00E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7435"/>
  <w15:docId w15:val="{22F14232-4A3B-43EF-B25A-7DEED85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Wingdings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6"/>
      <w:szCs w:val="26"/>
    </w:rPr>
  </w:style>
  <w:style w:type="character" w:customStyle="1" w:styleId="ListLabel20">
    <w:name w:val="ListLabel 20"/>
    <w:qFormat/>
    <w:rPr>
      <w:rFonts w:ascii="Times New Roman" w:hAnsi="Times New Roman"/>
      <w:sz w:val="26"/>
      <w:szCs w:val="26"/>
    </w:rPr>
  </w:style>
  <w:style w:type="character" w:customStyle="1" w:styleId="ListLabel21">
    <w:name w:val="ListLabel 21"/>
    <w:qFormat/>
    <w:rPr>
      <w:rFonts w:ascii="Times New Roman" w:hAnsi="Times New Roman"/>
      <w:sz w:val="26"/>
      <w:szCs w:val="26"/>
    </w:rPr>
  </w:style>
  <w:style w:type="character" w:customStyle="1" w:styleId="ListLabel22">
    <w:name w:val="ListLabel 22"/>
    <w:qFormat/>
    <w:rPr>
      <w:rFonts w:ascii="Times New Roman" w:hAnsi="Times New Roman"/>
      <w:sz w:val="26"/>
      <w:szCs w:val="26"/>
    </w:rPr>
  </w:style>
  <w:style w:type="character" w:customStyle="1" w:styleId="ListLabel23">
    <w:name w:val="ListLabel 23"/>
    <w:qFormat/>
    <w:rPr>
      <w:rFonts w:ascii="Times New Roman" w:hAnsi="Times New Roman"/>
      <w:sz w:val="26"/>
      <w:szCs w:val="26"/>
    </w:rPr>
  </w:style>
  <w:style w:type="character" w:customStyle="1" w:styleId="ListLabel24">
    <w:name w:val="ListLabel 24"/>
    <w:qFormat/>
    <w:rPr>
      <w:sz w:val="26"/>
    </w:rPr>
  </w:style>
  <w:style w:type="character" w:customStyle="1" w:styleId="ListLabel25">
    <w:name w:val="ListLabel 25"/>
    <w:qFormat/>
    <w:rPr>
      <w:rFonts w:ascii="Times New Roman" w:hAnsi="Times New Roman"/>
      <w:sz w:val="26"/>
      <w:szCs w:val="26"/>
    </w:rPr>
  </w:style>
  <w:style w:type="character" w:customStyle="1" w:styleId="ListLabel26">
    <w:name w:val="ListLabel 26"/>
    <w:qFormat/>
    <w:rPr>
      <w:sz w:val="26"/>
    </w:rPr>
  </w:style>
  <w:style w:type="character" w:customStyle="1" w:styleId="ListLabel27">
    <w:name w:val="ListLabel 27"/>
    <w:qFormat/>
    <w:rPr>
      <w:rFonts w:ascii="Times New Roman" w:hAnsi="Times New Roman"/>
      <w:sz w:val="26"/>
      <w:szCs w:val="26"/>
    </w:rPr>
  </w:style>
  <w:style w:type="character" w:customStyle="1" w:styleId="ListLabel28">
    <w:name w:val="ListLabel 28"/>
    <w:qFormat/>
    <w:rPr>
      <w:sz w:val="26"/>
    </w:rPr>
  </w:style>
  <w:style w:type="character" w:customStyle="1" w:styleId="ListLabel29">
    <w:name w:val="ListLabel 29"/>
    <w:qFormat/>
    <w:rPr>
      <w:rFonts w:ascii="Times New Roman" w:hAnsi="Times New Roman"/>
      <w:sz w:val="26"/>
      <w:szCs w:val="26"/>
    </w:rPr>
  </w:style>
  <w:style w:type="character" w:customStyle="1" w:styleId="ListLabel30">
    <w:name w:val="ListLabel 30"/>
    <w:qFormat/>
    <w:rPr>
      <w:sz w:val="26"/>
    </w:rPr>
  </w:style>
  <w:style w:type="character" w:customStyle="1" w:styleId="ListLabel31">
    <w:name w:val="ListLabel 31"/>
    <w:qFormat/>
    <w:rPr>
      <w:rFonts w:ascii="Times New Roman" w:hAnsi="Times New Roman"/>
      <w:sz w:val="26"/>
      <w:szCs w:val="26"/>
    </w:rPr>
  </w:style>
  <w:style w:type="character" w:customStyle="1" w:styleId="ListLabel32">
    <w:name w:val="ListLabel 32"/>
    <w:qFormat/>
    <w:rPr>
      <w:sz w:val="26"/>
    </w:rPr>
  </w:style>
  <w:style w:type="character" w:customStyle="1" w:styleId="ListLabel33">
    <w:name w:val="ListLabel 33"/>
    <w:qFormat/>
    <w:rPr>
      <w:rFonts w:ascii="Times New Roman" w:hAnsi="Times New Roman"/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Serif" w:eastAsia="Tahoma" w:hAnsi="PT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ascii="PT Serif" w:hAnsi="PT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erif" w:hAnsi="PT Serif" w:cs="Noto Sans Devanagari"/>
    </w:rPr>
  </w:style>
  <w:style w:type="paragraph" w:styleId="a8">
    <w:name w:val="List Paragraph"/>
    <w:basedOn w:val="a"/>
    <w:uiPriority w:val="34"/>
    <w:qFormat/>
    <w:rsid w:val="000502DB"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tentparagraph">
    <w:name w:val="content__paragraph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educational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640</Words>
  <Characters>3652</Characters>
  <Application>Microsoft Office Word</Application>
  <DocSecurity>0</DocSecurity>
  <Lines>30</Lines>
  <Paragraphs>8</Paragraphs>
  <ScaleCrop>false</ScaleCrop>
  <Company>APK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Текерлек Татьяна Николаевна</dc:creator>
  <dc:description/>
  <cp:lastModifiedBy>Владимир Резвушкин</cp:lastModifiedBy>
  <cp:revision>39</cp:revision>
  <dcterms:created xsi:type="dcterms:W3CDTF">2022-03-22T07:08:00Z</dcterms:created>
  <dcterms:modified xsi:type="dcterms:W3CDTF">2022-06-07T00:18:00Z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